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18FEA" w14:textId="77777777" w:rsidR="004E30F0" w:rsidRPr="00957B77" w:rsidRDefault="004E30F0" w:rsidP="00957B77">
      <w:pPr>
        <w:jc w:val="center"/>
        <w:rPr>
          <w:b/>
          <w:sz w:val="28"/>
          <w:szCs w:val="28"/>
        </w:rPr>
      </w:pPr>
      <w:r w:rsidRPr="00957B77">
        <w:rPr>
          <w:b/>
          <w:sz w:val="28"/>
          <w:szCs w:val="28"/>
        </w:rPr>
        <w:t xml:space="preserve">Proposition de sujet de thèse </w:t>
      </w:r>
    </w:p>
    <w:p w14:paraId="15B815AE" w14:textId="6CCF07DF" w:rsidR="004E30F0" w:rsidRPr="003F4669" w:rsidRDefault="004E30F0" w:rsidP="003F4669">
      <w:pPr>
        <w:jc w:val="center"/>
        <w:rPr>
          <w:b/>
          <w:sz w:val="28"/>
          <w:szCs w:val="28"/>
        </w:rPr>
      </w:pPr>
      <w:r>
        <w:rPr>
          <w:b/>
          <w:sz w:val="28"/>
          <w:szCs w:val="28"/>
        </w:rPr>
        <w:t>Campagne 201</w:t>
      </w:r>
      <w:r w:rsidR="00574027">
        <w:rPr>
          <w:b/>
          <w:sz w:val="28"/>
          <w:szCs w:val="28"/>
        </w:rPr>
        <w:t>7</w:t>
      </w:r>
      <w:r w:rsidRPr="00957B77">
        <w:rPr>
          <w:b/>
          <w:sz w:val="28"/>
          <w:szCs w:val="28"/>
        </w:rPr>
        <w:t> d’attribution des contrats doctoraux</w:t>
      </w:r>
      <w:r>
        <w:rPr>
          <w:b/>
          <w:sz w:val="28"/>
          <w:szCs w:val="28"/>
        </w:rPr>
        <w:t xml:space="preserve"> attribués à EDCSV</w:t>
      </w:r>
    </w:p>
    <w:p w14:paraId="58A7E83F" w14:textId="79BB7486" w:rsidR="004E30F0" w:rsidRPr="00EC55D6" w:rsidRDefault="004E30F0" w:rsidP="003F4669">
      <w:pPr>
        <w:jc w:val="both"/>
      </w:pPr>
      <w:r w:rsidRPr="00161F15">
        <w:rPr>
          <w:b/>
        </w:rPr>
        <w:t>Directeur de thèse</w:t>
      </w:r>
      <w:r>
        <w:t xml:space="preserve"> (Supervisor), HDR rattaché à EDCSV:</w:t>
      </w:r>
      <w:r w:rsidR="00644566">
        <w:t xml:space="preserve"> </w:t>
      </w:r>
      <w:r w:rsidR="00EC55D6" w:rsidRPr="00EC55D6">
        <w:t xml:space="preserve">Antoine Royant, Institut de Biologie Structurale – Grenoble, 04-76-88-17-46, </w:t>
      </w:r>
      <w:hyperlink r:id="rId5" w:history="1">
        <w:r w:rsidR="00EC55D6" w:rsidRPr="00EC55D6">
          <w:rPr>
            <w:rStyle w:val="Lienhypertexte"/>
          </w:rPr>
          <w:t>antoine.royant@ibs.fr</w:t>
        </w:r>
      </w:hyperlink>
      <w:r w:rsidR="00EC55D6" w:rsidRPr="00EC55D6">
        <w:t>, HDR obtenue en 2011</w:t>
      </w:r>
    </w:p>
    <w:p w14:paraId="6F208FC9" w14:textId="771B1A06" w:rsidR="004E30F0" w:rsidRPr="00EC55D6" w:rsidRDefault="004E30F0" w:rsidP="003F4669">
      <w:pPr>
        <w:jc w:val="both"/>
      </w:pPr>
      <w:r w:rsidRPr="00161F15">
        <w:rPr>
          <w:b/>
        </w:rPr>
        <w:t>Co-Directeur de thèse</w:t>
      </w:r>
      <w:r>
        <w:t xml:space="preserve"> (éventuel), titulaire HDR :</w:t>
      </w:r>
      <w:r w:rsidR="003F4669">
        <w:t xml:space="preserve"> non applicable</w:t>
      </w:r>
    </w:p>
    <w:p w14:paraId="5AE1AD70" w14:textId="68A37D5A" w:rsidR="004E30F0" w:rsidRPr="00EC55D6" w:rsidRDefault="00B51EF4" w:rsidP="003F4669">
      <w:pPr>
        <w:jc w:val="both"/>
      </w:pPr>
      <w:r w:rsidRPr="00B51EF4">
        <w:rPr>
          <w:b/>
          <w:u w:val="single"/>
        </w:rPr>
        <w:t>Ou</w:t>
      </w:r>
      <w:r>
        <w:rPr>
          <w:b/>
        </w:rPr>
        <w:t xml:space="preserve"> </w:t>
      </w:r>
      <w:r w:rsidR="004E30F0" w:rsidRPr="00161F15">
        <w:rPr>
          <w:b/>
        </w:rPr>
        <w:t>Co-encadrant</w:t>
      </w:r>
      <w:r w:rsidR="004E30F0">
        <w:t xml:space="preserve"> (</w:t>
      </w:r>
      <w:r>
        <w:t>si non HDR</w:t>
      </w:r>
      <w:r w:rsidR="004E30F0">
        <w:t>) :</w:t>
      </w:r>
      <w:r w:rsidR="00644566">
        <w:t xml:space="preserve"> </w:t>
      </w:r>
      <w:r w:rsidR="003F4669">
        <w:t>non applicable</w:t>
      </w:r>
    </w:p>
    <w:p w14:paraId="65AF9DA7" w14:textId="27722B66" w:rsidR="004E30F0" w:rsidRPr="002D236F" w:rsidRDefault="00B51EF4" w:rsidP="003F4669">
      <w:pPr>
        <w:jc w:val="both"/>
        <w:rPr>
          <w:i/>
          <w:iCs/>
        </w:rPr>
      </w:pPr>
      <w:r>
        <w:rPr>
          <w:i/>
          <w:iCs/>
        </w:rPr>
        <w:t xml:space="preserve">En cas de co-direction ou co-encadrement, </w:t>
      </w:r>
      <w:r w:rsidRPr="00711A15">
        <w:rPr>
          <w:b/>
          <w:i/>
          <w:iCs/>
        </w:rPr>
        <w:t>les taux d’encadrement seront de 50% chacun</w:t>
      </w:r>
      <w:r>
        <w:rPr>
          <w:i/>
          <w:iCs/>
        </w:rPr>
        <w:t>.</w:t>
      </w:r>
    </w:p>
    <w:p w14:paraId="3B606A32" w14:textId="60EC8F10" w:rsidR="00EC55D6" w:rsidRPr="00EC55D6" w:rsidRDefault="004E30F0" w:rsidP="003F4669">
      <w:pPr>
        <w:jc w:val="both"/>
      </w:pPr>
      <w:r w:rsidRPr="001F64FD">
        <w:rPr>
          <w:b/>
        </w:rPr>
        <w:t>Unité de Recherche</w:t>
      </w:r>
      <w:r>
        <w:t>/Laboratory :</w:t>
      </w:r>
      <w:r w:rsidR="00644566">
        <w:t xml:space="preserve"> I</w:t>
      </w:r>
      <w:r w:rsidR="00EC55D6" w:rsidRPr="00EC55D6">
        <w:t>nstitut de Biologie Structurale, UMR 5075, Grenoble, dirigé par Winfried Weissenhorn</w:t>
      </w:r>
    </w:p>
    <w:p w14:paraId="4C978630" w14:textId="408C4ECD" w:rsidR="004E30F0" w:rsidRDefault="004E30F0" w:rsidP="003F4669">
      <w:pPr>
        <w:jc w:val="both"/>
      </w:pPr>
      <w:r w:rsidRPr="001F64FD">
        <w:rPr>
          <w:b/>
        </w:rPr>
        <w:t>Equipe de recherche</w:t>
      </w:r>
      <w:r>
        <w:t>/Research team :</w:t>
      </w:r>
      <w:r w:rsidR="00806DD9">
        <w:t xml:space="preserve"> </w:t>
      </w:r>
      <w:r w:rsidR="00EC55D6">
        <w:t xml:space="preserve">Equipe </w:t>
      </w:r>
      <w:r w:rsidR="00806DD9">
        <w:t>icOS, dirigée par Antoine Royant</w:t>
      </w:r>
      <w:r w:rsidR="00EC55D6">
        <w:t>, au sein du groupe GSY (groupe Synchro</w:t>
      </w:r>
      <w:r w:rsidR="00806DD9">
        <w:t>tron) dirigé par Jean-Luc Ferrer</w:t>
      </w:r>
    </w:p>
    <w:p w14:paraId="759940D2" w14:textId="6E235B65" w:rsidR="00806DD9" w:rsidRDefault="004E30F0" w:rsidP="003F4669">
      <w:pPr>
        <w:jc w:val="both"/>
      </w:pPr>
      <w:r w:rsidRPr="001F64FD">
        <w:rPr>
          <w:b/>
        </w:rPr>
        <w:t>Titre du projet de thèse</w:t>
      </w:r>
      <w:r>
        <w:t> (en français):</w:t>
      </w:r>
      <w:r w:rsidR="00644566">
        <w:t xml:space="preserve"> Développement</w:t>
      </w:r>
      <w:r w:rsidR="00644566" w:rsidRPr="00644566">
        <w:t xml:space="preserve"> par une approche</w:t>
      </w:r>
      <w:r w:rsidR="00644566">
        <w:t xml:space="preserve"> rationnelle</w:t>
      </w:r>
      <w:r w:rsidR="00644566" w:rsidRPr="00644566">
        <w:t xml:space="preserve"> de protéines fluorescentes </w:t>
      </w:r>
      <w:r w:rsidR="00D41A6A">
        <w:t>dans le rouge lointain</w:t>
      </w:r>
      <w:r w:rsidR="00644566" w:rsidRPr="00644566">
        <w:t xml:space="preserve"> et </w:t>
      </w:r>
      <w:r w:rsidR="00D41A6A">
        <w:t>l’infrarouge</w:t>
      </w:r>
      <w:r w:rsidR="00644566" w:rsidRPr="00644566">
        <w:t xml:space="preserve"> </w:t>
      </w:r>
      <w:r w:rsidR="00644566">
        <w:t>pour l’imagerie de corps entier</w:t>
      </w:r>
    </w:p>
    <w:p w14:paraId="135622BE" w14:textId="1BE2C20E" w:rsidR="004E30F0" w:rsidRDefault="004E30F0" w:rsidP="003F4669">
      <w:pPr>
        <w:jc w:val="both"/>
      </w:pPr>
      <w:r w:rsidRPr="001F64FD">
        <w:rPr>
          <w:b/>
        </w:rPr>
        <w:t>Titre du projet de thèse</w:t>
      </w:r>
      <w:r>
        <w:t> (en anglais):</w:t>
      </w:r>
      <w:r w:rsidR="00644566">
        <w:t xml:space="preserve"> Structure-driven development of </w:t>
      </w:r>
      <w:r w:rsidR="00D41A6A">
        <w:t>far-</w:t>
      </w:r>
      <w:r w:rsidR="00644566">
        <w:t>red and infrared fluorescent proteins for whole-body imaging</w:t>
      </w:r>
    </w:p>
    <w:p w14:paraId="6A7F9A5A" w14:textId="77777777" w:rsidR="004E30F0" w:rsidRDefault="004E30F0" w:rsidP="003F4669">
      <w:pPr>
        <w:jc w:val="both"/>
      </w:pPr>
      <w:r w:rsidRPr="001F64FD">
        <w:rPr>
          <w:b/>
        </w:rPr>
        <w:t>Résumé</w:t>
      </w:r>
      <w:r>
        <w:t> (en anglais): Précisez le contexte, les objectifs, les méthodes (500 mots maximum)</w:t>
      </w:r>
    </w:p>
    <w:p w14:paraId="7C243E83" w14:textId="4774F45A" w:rsidR="00D604CC" w:rsidRPr="00D41A6A" w:rsidRDefault="00DF31BE" w:rsidP="003F4669">
      <w:pPr>
        <w:ind w:firstLine="708"/>
        <w:jc w:val="both"/>
        <w:rPr>
          <w:lang w:val="en-GB"/>
        </w:rPr>
      </w:pPr>
      <w:r w:rsidRPr="003F4669">
        <w:rPr>
          <w:i/>
          <w:lang w:val="en-GB"/>
        </w:rPr>
        <w:t>Context</w:t>
      </w:r>
      <w:r w:rsidR="00D41A6A" w:rsidRPr="003F4669">
        <w:rPr>
          <w:i/>
          <w:lang w:val="en-GB"/>
        </w:rPr>
        <w:t>:</w:t>
      </w:r>
      <w:r w:rsidRPr="00D41A6A">
        <w:rPr>
          <w:lang w:val="en-GB"/>
        </w:rPr>
        <w:t xml:space="preserve">  Green Fluorescent Protein (GFP) from the jellyfish </w:t>
      </w:r>
      <w:r w:rsidRPr="00D41A6A">
        <w:rPr>
          <w:i/>
          <w:lang w:val="en-GB"/>
        </w:rPr>
        <w:t>Aequorea victoria</w:t>
      </w:r>
      <w:r w:rsidRPr="00D41A6A">
        <w:rPr>
          <w:lang w:val="en-GB"/>
        </w:rPr>
        <w:t xml:space="preserve"> has revolutionized cell biology, but is of more limited use in whole-body imaging, since tissues rich in haemoglobin and oxy-hemoglobin strongly absorb light below 650 nm, that is from the UV to the red part of the visible spectrum. Beyond 650 nm there is an optical window, limited around 900 nm by the absorption of water, in which fluorescence imaging is possible on </w:t>
      </w:r>
      <w:r w:rsidR="006F510D">
        <w:rPr>
          <w:lang w:val="en-GB"/>
        </w:rPr>
        <w:t>multicellular organisms</w:t>
      </w:r>
      <w:r w:rsidRPr="00D41A6A">
        <w:rPr>
          <w:lang w:val="en-GB"/>
        </w:rPr>
        <w:t xml:space="preserve">. </w:t>
      </w:r>
      <w:r w:rsidR="00D41A6A" w:rsidRPr="00D41A6A">
        <w:rPr>
          <w:lang w:val="en-GB"/>
        </w:rPr>
        <w:t>Fluorescent Proteins (FPs) have been optimize</w:t>
      </w:r>
      <w:r w:rsidR="006F510D">
        <w:rPr>
          <w:lang w:val="en-GB"/>
        </w:rPr>
        <w:t>d</w:t>
      </w:r>
      <w:r w:rsidR="00D41A6A" w:rsidRPr="00D41A6A">
        <w:rPr>
          <w:lang w:val="en-GB"/>
        </w:rPr>
        <w:t xml:space="preserve"> in brightness for most of the visible light spectrum, except for the far-red and </w:t>
      </w:r>
      <w:r w:rsidR="00EB68A4">
        <w:rPr>
          <w:lang w:val="en-GB"/>
        </w:rPr>
        <w:t>near-</w:t>
      </w:r>
      <w:r w:rsidR="00D41A6A" w:rsidRPr="00D41A6A">
        <w:rPr>
          <w:lang w:val="en-GB"/>
        </w:rPr>
        <w:t>infrared regions. FPs homologous to GFP have the capacity to fluoresce in the far-red, albeit weak</w:t>
      </w:r>
      <w:r w:rsidR="006F510D">
        <w:rPr>
          <w:lang w:val="en-GB"/>
        </w:rPr>
        <w:t>ly, but</w:t>
      </w:r>
      <w:r w:rsidR="00D41A6A" w:rsidRPr="00D41A6A">
        <w:rPr>
          <w:lang w:val="en-GB"/>
        </w:rPr>
        <w:t xml:space="preserve"> not </w:t>
      </w:r>
      <w:r w:rsidR="006F510D">
        <w:rPr>
          <w:lang w:val="en-GB"/>
        </w:rPr>
        <w:t xml:space="preserve">in </w:t>
      </w:r>
      <w:r w:rsidR="00D41A6A" w:rsidRPr="00D41A6A">
        <w:rPr>
          <w:lang w:val="en-GB"/>
        </w:rPr>
        <w:t xml:space="preserve">the infrared. </w:t>
      </w:r>
      <w:r w:rsidR="006F510D">
        <w:rPr>
          <w:lang w:val="en-GB"/>
        </w:rPr>
        <w:t>Besides, a</w:t>
      </w:r>
      <w:r w:rsidRPr="00D41A6A">
        <w:rPr>
          <w:lang w:val="en-GB"/>
        </w:rPr>
        <w:t xml:space="preserve"> small number of infrared fluorescent proteins (IFPs) have </w:t>
      </w:r>
      <w:r w:rsidR="00D41A6A" w:rsidRPr="00D41A6A">
        <w:rPr>
          <w:lang w:val="en-GB"/>
        </w:rPr>
        <w:t xml:space="preserve">recently </w:t>
      </w:r>
      <w:r w:rsidRPr="00D41A6A">
        <w:rPr>
          <w:lang w:val="en-GB"/>
        </w:rPr>
        <w:t xml:space="preserve">been developed by directed evolution from bacterial </w:t>
      </w:r>
      <w:r w:rsidR="006F510D" w:rsidRPr="00D41A6A">
        <w:rPr>
          <w:lang w:val="en-GB"/>
        </w:rPr>
        <w:t>phytochromes, which</w:t>
      </w:r>
      <w:r w:rsidRPr="00D41A6A">
        <w:rPr>
          <w:lang w:val="en-GB"/>
        </w:rPr>
        <w:t xml:space="preserve"> use bilins as chromoph</w:t>
      </w:r>
      <w:r w:rsidR="006F510D">
        <w:rPr>
          <w:lang w:val="en-GB"/>
        </w:rPr>
        <w:t>ore</w:t>
      </w:r>
      <w:r w:rsidRPr="00D41A6A">
        <w:rPr>
          <w:lang w:val="en-GB"/>
        </w:rPr>
        <w:t xml:space="preserve">, paving the way to the design of fluorescent proteins that are not homologous to GFP. We have </w:t>
      </w:r>
      <w:r w:rsidR="00D41A6A" w:rsidRPr="00D41A6A">
        <w:rPr>
          <w:lang w:val="en-GB"/>
        </w:rPr>
        <w:t>contributed to de</w:t>
      </w:r>
      <w:r w:rsidR="006F510D">
        <w:rPr>
          <w:lang w:val="en-GB"/>
        </w:rPr>
        <w:t xml:space="preserve">velop a number of such proteins (Shu </w:t>
      </w:r>
      <w:r w:rsidR="006F510D" w:rsidRPr="003F4669">
        <w:rPr>
          <w:i/>
          <w:lang w:val="en-GB"/>
        </w:rPr>
        <w:t>et al.</w:t>
      </w:r>
      <w:r w:rsidR="006F510D">
        <w:rPr>
          <w:lang w:val="en-GB"/>
        </w:rPr>
        <w:t xml:space="preserve"> 2009, Yu </w:t>
      </w:r>
      <w:r w:rsidR="006F510D" w:rsidRPr="003F4669">
        <w:rPr>
          <w:i/>
          <w:lang w:val="en-GB"/>
        </w:rPr>
        <w:t>et al.</w:t>
      </w:r>
      <w:r w:rsidR="006F510D">
        <w:rPr>
          <w:lang w:val="en-GB"/>
        </w:rPr>
        <w:t xml:space="preserve"> 2014, Yu </w:t>
      </w:r>
      <w:r w:rsidR="006F510D" w:rsidRPr="003F4669">
        <w:rPr>
          <w:i/>
          <w:lang w:val="en-GB"/>
        </w:rPr>
        <w:t>et al.</w:t>
      </w:r>
      <w:r w:rsidR="006F510D">
        <w:rPr>
          <w:lang w:val="en-GB"/>
        </w:rPr>
        <w:t xml:space="preserve"> 2016) and determined the structure of of them (</w:t>
      </w:r>
      <w:r w:rsidR="006F510D" w:rsidRPr="003F4669">
        <w:rPr>
          <w:i/>
          <w:lang w:val="en-GB"/>
        </w:rPr>
        <w:t>ibid</w:t>
      </w:r>
      <w:r w:rsidR="003F4669" w:rsidRPr="003F4669">
        <w:rPr>
          <w:i/>
          <w:lang w:val="en-GB"/>
        </w:rPr>
        <w:t>.</w:t>
      </w:r>
      <w:r w:rsidR="006F510D">
        <w:rPr>
          <w:lang w:val="en-GB"/>
        </w:rPr>
        <w:t xml:space="preserve">, Feliks </w:t>
      </w:r>
      <w:r w:rsidR="006F510D" w:rsidRPr="003F4669">
        <w:rPr>
          <w:i/>
          <w:lang w:val="en-GB"/>
        </w:rPr>
        <w:t>et al.</w:t>
      </w:r>
      <w:r w:rsidR="006F510D">
        <w:rPr>
          <w:lang w:val="en-GB"/>
        </w:rPr>
        <w:t xml:space="preserve"> 2016). </w:t>
      </w:r>
    </w:p>
    <w:p w14:paraId="75555323" w14:textId="612B8C63" w:rsidR="00DF31BE" w:rsidRPr="00D41A6A" w:rsidRDefault="00D41A6A" w:rsidP="003F4669">
      <w:pPr>
        <w:ind w:firstLine="708"/>
        <w:jc w:val="both"/>
        <w:rPr>
          <w:lang w:val="en-GB"/>
        </w:rPr>
      </w:pPr>
      <w:r w:rsidRPr="003F4669">
        <w:rPr>
          <w:i/>
          <w:lang w:val="en-GB"/>
        </w:rPr>
        <w:t>Goal</w:t>
      </w:r>
      <w:r w:rsidR="00DF31BE" w:rsidRPr="003F4669">
        <w:rPr>
          <w:i/>
          <w:lang w:val="en-GB"/>
        </w:rPr>
        <w:t>:</w:t>
      </w:r>
      <w:r w:rsidR="006F510D">
        <w:rPr>
          <w:lang w:val="en-GB"/>
        </w:rPr>
        <w:t xml:space="preserve"> We aim to develop fluorescent proteins in the far-red and </w:t>
      </w:r>
      <w:r w:rsidR="00EB68A4">
        <w:rPr>
          <w:lang w:val="en-GB"/>
        </w:rPr>
        <w:t>near-</w:t>
      </w:r>
      <w:r w:rsidR="006F510D">
        <w:rPr>
          <w:lang w:val="en-GB"/>
        </w:rPr>
        <w:t>infrared regions o</w:t>
      </w:r>
      <w:r w:rsidR="00EB68A4">
        <w:rPr>
          <w:lang w:val="en-GB"/>
        </w:rPr>
        <w:t xml:space="preserve">f the visible light spectrum with a </w:t>
      </w:r>
      <w:r w:rsidR="006F510D">
        <w:rPr>
          <w:lang w:val="en-GB"/>
        </w:rPr>
        <w:t xml:space="preserve">significantly increased brightness compared to existing variants, </w:t>
      </w:r>
      <w:r w:rsidR="00EB68A4">
        <w:rPr>
          <w:lang w:val="en-GB"/>
        </w:rPr>
        <w:t xml:space="preserve">in the same way as we developed the optimized cyan and red fluorescent proteins mTurquoise2 and mScarlet (Goedhart </w:t>
      </w:r>
      <w:r w:rsidR="00EB68A4" w:rsidRPr="003F4669">
        <w:rPr>
          <w:i/>
          <w:lang w:val="en-GB"/>
        </w:rPr>
        <w:t>et al.</w:t>
      </w:r>
      <w:r w:rsidR="00EB68A4">
        <w:rPr>
          <w:lang w:val="en-GB"/>
        </w:rPr>
        <w:t xml:space="preserve"> 2012, Bindels </w:t>
      </w:r>
      <w:r w:rsidR="00EB68A4" w:rsidRPr="003F4669">
        <w:rPr>
          <w:i/>
          <w:lang w:val="en-GB"/>
        </w:rPr>
        <w:t>et al.</w:t>
      </w:r>
      <w:r w:rsidR="00EB68A4">
        <w:rPr>
          <w:lang w:val="en-GB"/>
        </w:rPr>
        <w:t xml:space="preserve"> 2017).</w:t>
      </w:r>
    </w:p>
    <w:p w14:paraId="3B7E46AC" w14:textId="5159129A" w:rsidR="00DF31BE" w:rsidRPr="00D41A6A" w:rsidRDefault="00D41A6A" w:rsidP="003F4669">
      <w:pPr>
        <w:ind w:firstLine="708"/>
        <w:jc w:val="both"/>
        <w:rPr>
          <w:lang w:val="en-GB"/>
        </w:rPr>
      </w:pPr>
      <w:r w:rsidRPr="003F4669">
        <w:rPr>
          <w:i/>
          <w:lang w:val="en-GB"/>
        </w:rPr>
        <w:t>Methods</w:t>
      </w:r>
      <w:r w:rsidR="00DF31BE" w:rsidRPr="003F4669">
        <w:rPr>
          <w:i/>
          <w:lang w:val="en-GB"/>
        </w:rPr>
        <w:t>:</w:t>
      </w:r>
      <w:r w:rsidRPr="00D41A6A">
        <w:rPr>
          <w:lang w:val="en-GB"/>
        </w:rPr>
        <w:t xml:space="preserve"> </w:t>
      </w:r>
      <w:r w:rsidR="006F510D">
        <w:rPr>
          <w:lang w:val="en-GB"/>
        </w:rPr>
        <w:t>We will start from structures of RFPs and IFPs</w:t>
      </w:r>
      <w:r w:rsidR="00EB68A4">
        <w:rPr>
          <w:lang w:val="en-GB"/>
        </w:rPr>
        <w:t xml:space="preserve"> solved in the team, and identify</w:t>
      </w:r>
      <w:r w:rsidR="006F510D">
        <w:rPr>
          <w:lang w:val="en-GB"/>
        </w:rPr>
        <w:t xml:space="preserve"> key residues for random mutagenesis. Screening for fluorescent bacterial colonies wil</w:t>
      </w:r>
      <w:r w:rsidR="00EB68A4">
        <w:rPr>
          <w:lang w:val="en-GB"/>
        </w:rPr>
        <w:t>l highlight mutants of</w:t>
      </w:r>
      <w:r w:rsidR="006F510D">
        <w:rPr>
          <w:lang w:val="en-GB"/>
        </w:rPr>
        <w:t xml:space="preserve"> interest, for which structural analysis will provide rationale for fluorescence improvement.</w:t>
      </w:r>
    </w:p>
    <w:p w14:paraId="63A1A08A" w14:textId="0D83912A" w:rsidR="00EB68A4" w:rsidRDefault="00EB68A4" w:rsidP="00DF31BE">
      <w:pPr>
        <w:jc w:val="both"/>
      </w:pPr>
      <w:r w:rsidRPr="00EB68A4">
        <w:lastRenderedPageBreak/>
        <w:t>Bindels, D.S., Haarbosch, L., van Weeren, L., Postma, M., Wiese, K.E., Mastop, M., Aumonier, S., Gotthard, G., R</w:t>
      </w:r>
      <w:r>
        <w:t>oyant, A., Hink, M.A. &amp; Gadella</w:t>
      </w:r>
      <w:r w:rsidRPr="00EB68A4">
        <w:t xml:space="preserve">, T.W. Jr. </w:t>
      </w:r>
      <w:r w:rsidRPr="00EB68A4">
        <w:rPr>
          <w:i/>
        </w:rPr>
        <w:t>Nat. Methods</w:t>
      </w:r>
      <w:r w:rsidRPr="00EB68A4">
        <w:t xml:space="preserve"> </w:t>
      </w:r>
      <w:r w:rsidRPr="00EB68A4">
        <w:rPr>
          <w:b/>
        </w:rPr>
        <w:t>14</w:t>
      </w:r>
      <w:r w:rsidRPr="00EB68A4">
        <w:t>, 53-56 (2017)</w:t>
      </w:r>
    </w:p>
    <w:p w14:paraId="6E0B73B7" w14:textId="4A98AFFD" w:rsidR="006F510D" w:rsidRDefault="006F510D" w:rsidP="00DF31BE">
      <w:pPr>
        <w:jc w:val="both"/>
      </w:pPr>
      <w:r w:rsidRPr="006F510D">
        <w:t>Feliks, M., Lafaye, C</w:t>
      </w:r>
      <w:r>
        <w:t>., Shu, X., Royant, A. &amp; Field</w:t>
      </w:r>
      <w:r w:rsidRPr="006F510D">
        <w:t xml:space="preserve">, M. </w:t>
      </w:r>
      <w:r w:rsidRPr="006F510D">
        <w:rPr>
          <w:i/>
        </w:rPr>
        <w:t>Biochemistry</w:t>
      </w:r>
      <w:r w:rsidRPr="006F510D">
        <w:t xml:space="preserve"> </w:t>
      </w:r>
      <w:r w:rsidRPr="006F510D">
        <w:rPr>
          <w:b/>
        </w:rPr>
        <w:t>55</w:t>
      </w:r>
      <w:r w:rsidRPr="006F510D">
        <w:t>, 4263-4274 (2016)</w:t>
      </w:r>
    </w:p>
    <w:p w14:paraId="2ED232E3" w14:textId="36447557" w:rsidR="00EB68A4" w:rsidRDefault="00EB68A4" w:rsidP="00DF31BE">
      <w:pPr>
        <w:jc w:val="both"/>
      </w:pPr>
      <w:r>
        <w:t>Goedhart, J., von Stetten</w:t>
      </w:r>
      <w:r w:rsidRPr="00EB68A4">
        <w:t xml:space="preserve">, D., Noirclerc-Savoye, M., Lelimousin, M., Joosen, L., Hink, M. A., van Weeren </w:t>
      </w:r>
      <w:r>
        <w:t>L., Gadella, T. W. Jr &amp; Royant</w:t>
      </w:r>
      <w:r w:rsidRPr="00EB68A4">
        <w:t xml:space="preserve">, A. </w:t>
      </w:r>
      <w:r w:rsidRPr="00EB68A4">
        <w:rPr>
          <w:i/>
        </w:rPr>
        <w:t>Nat. Commun.</w:t>
      </w:r>
      <w:r w:rsidRPr="00EB68A4">
        <w:t xml:space="preserve"> </w:t>
      </w:r>
      <w:r w:rsidRPr="00EB68A4">
        <w:rPr>
          <w:b/>
        </w:rPr>
        <w:t>3</w:t>
      </w:r>
      <w:r w:rsidRPr="00EB68A4">
        <w:t>, 751 (2012)</w:t>
      </w:r>
    </w:p>
    <w:p w14:paraId="7D922E25" w14:textId="77777777" w:rsidR="00EB68A4" w:rsidRDefault="00EB68A4" w:rsidP="00EB68A4">
      <w:pPr>
        <w:jc w:val="both"/>
      </w:pPr>
      <w:r w:rsidRPr="006F510D">
        <w:t xml:space="preserve">Shu, X., Royant, A., Lin, M.Z., Aguilera, T.A., Lev-Ram, V., Steinbach, P.A. &amp; Tsien, R.Y. </w:t>
      </w:r>
      <w:r w:rsidRPr="006F510D">
        <w:rPr>
          <w:i/>
        </w:rPr>
        <w:t>Science</w:t>
      </w:r>
      <w:r w:rsidRPr="006F510D">
        <w:t xml:space="preserve"> </w:t>
      </w:r>
      <w:r w:rsidRPr="006F510D">
        <w:rPr>
          <w:b/>
        </w:rPr>
        <w:t>324</w:t>
      </w:r>
      <w:r w:rsidRPr="006F510D">
        <w:t>, 804-807 (2009)</w:t>
      </w:r>
    </w:p>
    <w:p w14:paraId="33A589C2" w14:textId="3CEDB45D" w:rsidR="00DF31BE" w:rsidRDefault="006F510D" w:rsidP="00DF31BE">
      <w:pPr>
        <w:jc w:val="both"/>
      </w:pPr>
      <w:r w:rsidRPr="006F510D">
        <w:t xml:space="preserve">Yu, D., Dong, Z., Gustafson, W.C., Ruiz-González, R., Signor, L., Marzocca, F., Borel, F., Klassen, M.P., Makhijani, K., Royant, A., Jan, Y.N., Weiss, W.A., Guo, S. &amp; Shu, X. </w:t>
      </w:r>
      <w:r w:rsidRPr="006F510D">
        <w:rPr>
          <w:i/>
        </w:rPr>
        <w:t>Protein Sci.</w:t>
      </w:r>
      <w:r w:rsidRPr="006F510D">
        <w:t xml:space="preserve"> </w:t>
      </w:r>
      <w:r w:rsidRPr="006F510D">
        <w:rPr>
          <w:b/>
        </w:rPr>
        <w:t>25</w:t>
      </w:r>
      <w:r w:rsidRPr="006F510D">
        <w:t>, 308-315 (2016)</w:t>
      </w:r>
    </w:p>
    <w:p w14:paraId="5655D0EA" w14:textId="062D16DA" w:rsidR="006F510D" w:rsidRDefault="006F510D" w:rsidP="00DF31BE">
      <w:pPr>
        <w:jc w:val="both"/>
      </w:pPr>
      <w:r w:rsidRPr="006F510D">
        <w:t xml:space="preserve">Yu, D., Gustafson, W. C., Han, C., Lafaye, C., Noirclerc-Savoye, M., Ge, W. P., Thayer, D. A., Huang, H., Kornberg, T. B., Royant, A., Jan, L. Y., Jan, Y. N., Weiss, W. A. &amp; Shu, X. </w:t>
      </w:r>
      <w:r w:rsidRPr="006F510D">
        <w:rPr>
          <w:i/>
        </w:rPr>
        <w:t>Nat Commun.</w:t>
      </w:r>
      <w:r w:rsidRPr="006F510D">
        <w:t xml:space="preserve"> </w:t>
      </w:r>
      <w:r w:rsidRPr="006F510D">
        <w:rPr>
          <w:b/>
        </w:rPr>
        <w:t>5</w:t>
      </w:r>
      <w:r w:rsidRPr="006F510D">
        <w:t>, 3626 (2014)</w:t>
      </w:r>
    </w:p>
    <w:p w14:paraId="25B4A72F" w14:textId="77777777" w:rsidR="00644566" w:rsidRDefault="004E30F0" w:rsidP="003F4669">
      <w:pPr>
        <w:jc w:val="both"/>
      </w:pPr>
      <w:r w:rsidRPr="001F64FD">
        <w:rPr>
          <w:b/>
        </w:rPr>
        <w:t>Mots-clés</w:t>
      </w:r>
      <w:r w:rsidR="00644566">
        <w:t xml:space="preserve"> (5 maximum) :</w:t>
      </w:r>
    </w:p>
    <w:p w14:paraId="5BCC8353" w14:textId="6FEB047F" w:rsidR="00644566" w:rsidRDefault="003F4669" w:rsidP="003F4669">
      <w:pPr>
        <w:jc w:val="both"/>
      </w:pPr>
      <w:r>
        <w:t>E</w:t>
      </w:r>
      <w:r w:rsidR="00644566">
        <w:t>n français :</w:t>
      </w:r>
      <w:r>
        <w:t xml:space="preserve"> p</w:t>
      </w:r>
      <w:r w:rsidR="00D604CC">
        <w:t>rotéine fluorescence, fluorescence infrarouge, évolution dirigée, cristallographie aux rayons X, imagerie de corps entier</w:t>
      </w:r>
    </w:p>
    <w:p w14:paraId="60B88586" w14:textId="10AC924B" w:rsidR="00644566" w:rsidRDefault="003F4669" w:rsidP="003F4669">
      <w:pPr>
        <w:jc w:val="both"/>
      </w:pPr>
      <w:r>
        <w:t>E</w:t>
      </w:r>
      <w:r w:rsidR="00644566">
        <w:t xml:space="preserve">n anglais : </w:t>
      </w:r>
      <w:r>
        <w:t>f</w:t>
      </w:r>
      <w:r w:rsidR="00D604CC">
        <w:t>luorescent pr</w:t>
      </w:r>
      <w:r>
        <w:t>otein, infrared fluorescence,  d</w:t>
      </w:r>
      <w:r w:rsidR="00D604CC">
        <w:t>irected evolution, X-ray crystallography, whole-body imaging</w:t>
      </w:r>
    </w:p>
    <w:p w14:paraId="1AA54467" w14:textId="77777777" w:rsidR="00574027" w:rsidRDefault="00574027" w:rsidP="003F4669">
      <w:pPr>
        <w:jc w:val="both"/>
        <w:rPr>
          <w:b/>
        </w:rPr>
      </w:pPr>
      <w:r w:rsidRPr="00574027">
        <w:rPr>
          <w:b/>
        </w:rPr>
        <w:t>Sujet éligible à une allocation de la Fondation pour la recherche médicale (FRM)</w:t>
      </w:r>
      <w:r>
        <w:rPr>
          <w:b/>
        </w:rPr>
        <w:t> :</w:t>
      </w:r>
    </w:p>
    <w:p w14:paraId="4E0D8DFB" w14:textId="0064973F" w:rsidR="00574027" w:rsidRPr="00644566" w:rsidRDefault="00574027" w:rsidP="003F4669">
      <w:pPr>
        <w:jc w:val="both"/>
        <w:rPr>
          <w:b/>
          <w:sz w:val="36"/>
        </w:rPr>
      </w:pPr>
      <w:r w:rsidRPr="00574027">
        <w:t>Oui</w:t>
      </w:r>
      <w:r>
        <w:rPr>
          <w:b/>
        </w:rPr>
        <w:t xml:space="preserve">    </w:t>
      </w:r>
      <w:r w:rsidR="0038473B">
        <w:rPr>
          <w:b/>
          <w:sz w:val="36"/>
        </w:rPr>
        <w:t>X</w:t>
      </w:r>
      <w:r>
        <w:rPr>
          <w:b/>
          <w:sz w:val="36"/>
        </w:rPr>
        <w:t xml:space="preserve">         </w:t>
      </w:r>
      <w:r w:rsidRPr="00574027">
        <w:rPr>
          <w:sz w:val="24"/>
        </w:rPr>
        <w:t>Non</w:t>
      </w:r>
      <w:r>
        <w:rPr>
          <w:b/>
          <w:sz w:val="36"/>
        </w:rPr>
        <w:t xml:space="preserve"> □</w:t>
      </w:r>
    </w:p>
    <w:p w14:paraId="7C69FB29" w14:textId="38ADB98A" w:rsidR="00574027" w:rsidRPr="00644566" w:rsidRDefault="004E30F0" w:rsidP="003F4669">
      <w:pPr>
        <w:jc w:val="both"/>
      </w:pPr>
      <w:r w:rsidRPr="00F444A7">
        <w:rPr>
          <w:b/>
        </w:rPr>
        <w:t xml:space="preserve">Profil du candidat souhaité : </w:t>
      </w:r>
      <w:r w:rsidR="00644566">
        <w:t>Connaissances</w:t>
      </w:r>
      <w:r w:rsidR="003F4669">
        <w:t xml:space="preserve"> en biologie moléculaire, </w:t>
      </w:r>
      <w:r w:rsidR="00644566">
        <w:t>biochimie</w:t>
      </w:r>
      <w:r w:rsidR="003F4669">
        <w:t xml:space="preserve"> et méthodes biophysiques de caractérisation de protéines</w:t>
      </w:r>
      <w:r w:rsidR="00644566">
        <w:t> ; bases de la cristallographie aux rayons X des protéines et de l’analyse structurale.</w:t>
      </w:r>
    </w:p>
    <w:p w14:paraId="08D55ED1" w14:textId="77777777" w:rsidR="004E30F0" w:rsidRDefault="004E30F0" w:rsidP="003F4669">
      <w:pPr>
        <w:jc w:val="both"/>
      </w:pPr>
      <w:r w:rsidRPr="0098422C">
        <w:rPr>
          <w:b/>
        </w:rPr>
        <w:t>Trois publications récentes du Directeur de thèse</w:t>
      </w:r>
      <w:r>
        <w:t xml:space="preserve"> (et du co-directeur, s’il y a lieu) :</w:t>
      </w:r>
    </w:p>
    <w:p w14:paraId="6591DB43" w14:textId="523A4BEE" w:rsidR="0038473B" w:rsidRDefault="0038473B" w:rsidP="003F4669">
      <w:pPr>
        <w:jc w:val="both"/>
      </w:pPr>
      <w:r>
        <w:t xml:space="preserve">Makhijani, K., To, T.-L., Ruiz-González, R., Lafaye, C., </w:t>
      </w:r>
      <w:r w:rsidRPr="0038473B">
        <w:rPr>
          <w:u w:val="single"/>
        </w:rPr>
        <w:t>Royant, A.</w:t>
      </w:r>
      <w:r w:rsidR="00806DD9">
        <w:t xml:space="preserve"> &amp; Shu</w:t>
      </w:r>
      <w:r>
        <w:t xml:space="preserve">, X. Precision optogenetic tool for selective single- and multiple-cell ablation in a live animal model system. </w:t>
      </w:r>
      <w:r w:rsidRPr="0038473B">
        <w:rPr>
          <w:i/>
        </w:rPr>
        <w:t>Cell Chem. Biol.</w:t>
      </w:r>
      <w:r w:rsidRPr="0038473B">
        <w:t xml:space="preserve"> </w:t>
      </w:r>
      <w:r w:rsidRPr="0038473B">
        <w:rPr>
          <w:b/>
        </w:rPr>
        <w:t>24</w:t>
      </w:r>
      <w:r>
        <w:t xml:space="preserve">, </w:t>
      </w:r>
      <w:r w:rsidRPr="0038473B">
        <w:t>110-119</w:t>
      </w:r>
      <w:r>
        <w:t xml:space="preserve">  (2017)</w:t>
      </w:r>
    </w:p>
    <w:p w14:paraId="27957B7F" w14:textId="63153201" w:rsidR="0038473B" w:rsidRDefault="0038473B" w:rsidP="003F4669">
      <w:pPr>
        <w:jc w:val="both"/>
      </w:pPr>
      <w:r>
        <w:t xml:space="preserve">Bindels, D.S., Haarbosch, L., van Weeren, L., Postma, M., Wiese, K.E., Mastop, M., Aumonier, S., Gotthard, G., </w:t>
      </w:r>
      <w:r w:rsidRPr="0038473B">
        <w:rPr>
          <w:u w:val="single"/>
        </w:rPr>
        <w:t>Royant, A.</w:t>
      </w:r>
      <w:r>
        <w:t xml:space="preserve">, Hink, M.A. &amp; Gadella†, T.W. Jr. mScarlet: a bright monomeric red fluorescent protein for cellular imaging. </w:t>
      </w:r>
      <w:r w:rsidRPr="0038473B">
        <w:rPr>
          <w:i/>
        </w:rPr>
        <w:t>Nat. Methods</w:t>
      </w:r>
      <w:r>
        <w:t xml:space="preserve"> 14, 53-56 (2017)</w:t>
      </w:r>
    </w:p>
    <w:p w14:paraId="196BEF9D" w14:textId="78352EEE" w:rsidR="004E30F0" w:rsidRDefault="0038473B" w:rsidP="003F4669">
      <w:pPr>
        <w:jc w:val="both"/>
      </w:pPr>
      <w:r>
        <w:t xml:space="preserve">Nango, E., </w:t>
      </w:r>
      <w:r w:rsidR="00806DD9">
        <w:rPr>
          <w:u w:val="single"/>
        </w:rPr>
        <w:t>Royant</w:t>
      </w:r>
      <w:r w:rsidRPr="0038473B">
        <w:rPr>
          <w:u w:val="single"/>
        </w:rPr>
        <w:t>, A.</w:t>
      </w:r>
      <w:r w:rsidR="00806DD9">
        <w:t>, Kubo</w:t>
      </w:r>
      <w:r>
        <w:t>, M., Nakane, T., Wickstrand, C., Kimura, T., Tanaka, T., Tono, K., Song, C., Tanaka, R., Arima, T., Yamashita, A., Kobayashi, J., Hosaka, T., Mizohata, E., Nogly, P., Sugahara, M., Nam, D., Nomura, T., Shimamura, T., Im, D., Fujiwara, T., Yamanaka, Y., Jeon, B., Nishizawa, T., Oda, K., Fukuda, M., Andersson, R., Båth, P., Dods, R., Davidsson, J., Matsuoka, S., Kawatake, S., Murata, M., Osamu, O., Owada, S., Kameshima, T., Hatsui, T., Joti, Y., Schertler, G., Yabashi, M. ,Bonda</w:t>
      </w:r>
      <w:r w:rsidR="00806DD9">
        <w:t>r, A.-N., Standfuss, J., Neutze, R. &amp; Iwata</w:t>
      </w:r>
      <w:r>
        <w:t xml:space="preserve">, S. A three dimensional movie of structural changes in bacteriorhodopsin. </w:t>
      </w:r>
      <w:r w:rsidRPr="0038473B">
        <w:rPr>
          <w:i/>
        </w:rPr>
        <w:t>Science</w:t>
      </w:r>
      <w:r>
        <w:t xml:space="preserve"> </w:t>
      </w:r>
      <w:r w:rsidRPr="0038473B">
        <w:rPr>
          <w:b/>
        </w:rPr>
        <w:t>354</w:t>
      </w:r>
      <w:r>
        <w:t>, 1552-1557 (2016)</w:t>
      </w:r>
    </w:p>
    <w:p w14:paraId="5CD40904" w14:textId="77777777" w:rsidR="004E30F0" w:rsidRDefault="004E30F0" w:rsidP="003F4669">
      <w:pPr>
        <w:jc w:val="both"/>
      </w:pPr>
      <w:r w:rsidRPr="00F444A7">
        <w:rPr>
          <w:b/>
        </w:rPr>
        <w:lastRenderedPageBreak/>
        <w:t>Docteurs encadrés par le Dire</w:t>
      </w:r>
      <w:r>
        <w:rPr>
          <w:b/>
        </w:rPr>
        <w:t xml:space="preserve">cteur de thèse </w:t>
      </w:r>
      <w:r w:rsidRPr="00F444A7">
        <w:t>(et du co-directeur s’il y a lieu)</w:t>
      </w:r>
      <w:r w:rsidRPr="00F444A7">
        <w:rPr>
          <w:b/>
        </w:rPr>
        <w:t xml:space="preserve"> ayant soutenu leur thèse</w:t>
      </w:r>
      <w:r>
        <w:t xml:space="preserve"> (dans les 5 dernières années). Indiquer la date de soutenance, la durée de la thèse (en mois), les publications relatives au sujet de thèse et leur situation actuelle : </w:t>
      </w:r>
    </w:p>
    <w:p w14:paraId="4D6AB405" w14:textId="0B1F46FE" w:rsidR="00EC55D6" w:rsidRDefault="00644566" w:rsidP="003F4669">
      <w:pPr>
        <w:jc w:val="both"/>
        <w:rPr>
          <w:b/>
        </w:rPr>
      </w:pPr>
      <w:r>
        <w:rPr>
          <w:b/>
        </w:rPr>
        <w:t xml:space="preserve">(1) </w:t>
      </w:r>
      <w:r w:rsidR="00EC55D6">
        <w:rPr>
          <w:b/>
        </w:rPr>
        <w:t>Gaëlle BATOT</w:t>
      </w:r>
    </w:p>
    <w:p w14:paraId="11890E4B" w14:textId="77777777" w:rsidR="00EC55D6" w:rsidRDefault="00EC55D6" w:rsidP="003F4669">
      <w:pPr>
        <w:jc w:val="both"/>
        <w:rPr>
          <w:b/>
        </w:rPr>
      </w:pPr>
      <w:r>
        <w:rPr>
          <w:b/>
        </w:rPr>
        <w:t xml:space="preserve">Soutenance de thèse : </w:t>
      </w:r>
      <w:r w:rsidRPr="009C685E">
        <w:t>l</w:t>
      </w:r>
      <w:r>
        <w:t>e 11</w:t>
      </w:r>
      <w:r w:rsidRPr="009C685E">
        <w:t xml:space="preserve"> décembre 2013 à Grenoble</w:t>
      </w:r>
    </w:p>
    <w:p w14:paraId="51F60AFE" w14:textId="2D811FE5" w:rsidR="00EC55D6" w:rsidRDefault="00EC55D6" w:rsidP="003F4669">
      <w:pPr>
        <w:jc w:val="both"/>
        <w:rPr>
          <w:b/>
        </w:rPr>
      </w:pPr>
      <w:r>
        <w:rPr>
          <w:b/>
        </w:rPr>
        <w:t xml:space="preserve">Durée </w:t>
      </w:r>
      <w:r w:rsidR="00D41A6A">
        <w:rPr>
          <w:b/>
        </w:rPr>
        <w:t>d</w:t>
      </w:r>
      <w:r>
        <w:rPr>
          <w:b/>
        </w:rPr>
        <w:t xml:space="preserve">e la thèse : </w:t>
      </w:r>
      <w:r w:rsidRPr="009C685E">
        <w:t>39 mois</w:t>
      </w:r>
    </w:p>
    <w:p w14:paraId="67109181" w14:textId="77777777" w:rsidR="00EC55D6" w:rsidRDefault="00EC55D6" w:rsidP="003F4669">
      <w:pPr>
        <w:jc w:val="both"/>
        <w:rPr>
          <w:b/>
        </w:rPr>
      </w:pPr>
      <w:r>
        <w:rPr>
          <w:b/>
        </w:rPr>
        <w:t>Publications :</w:t>
      </w:r>
    </w:p>
    <w:p w14:paraId="01AAFCE6" w14:textId="7D86DA8D" w:rsidR="00EC55D6" w:rsidRDefault="00EC55D6" w:rsidP="003F4669">
      <w:pPr>
        <w:jc w:val="both"/>
      </w:pPr>
      <w:r w:rsidRPr="009C685E">
        <w:t xml:space="preserve">Jørgensen, R., </w:t>
      </w:r>
      <w:r w:rsidRPr="00772FF4">
        <w:rPr>
          <w:u w:val="single"/>
        </w:rPr>
        <w:t>Batot, G.</w:t>
      </w:r>
      <w:r w:rsidRPr="009C685E">
        <w:t xml:space="preserve">, Mannerstedt, K., Imberty, A., Breton, C., Hindsgaul, O., </w:t>
      </w:r>
      <w:r w:rsidR="00806DD9">
        <w:rPr>
          <w:u w:val="single"/>
        </w:rPr>
        <w:t>Royant</w:t>
      </w:r>
      <w:r w:rsidRPr="00772FF4">
        <w:rPr>
          <w:u w:val="single"/>
        </w:rPr>
        <w:t>, A.</w:t>
      </w:r>
      <w:r w:rsidRPr="009C685E">
        <w:t xml:space="preserve"> &amp; Palcic† M. M. Structures of a human blood group glycosyltransferase in complex with a photo-activatable UDP-Gal derivative reveal two different binding conformations. </w:t>
      </w:r>
      <w:r w:rsidRPr="00772FF4">
        <w:rPr>
          <w:i/>
        </w:rPr>
        <w:t>Acta Crystallogr. F</w:t>
      </w:r>
      <w:r w:rsidRPr="00772FF4">
        <w:rPr>
          <w:b/>
        </w:rPr>
        <w:t>70</w:t>
      </w:r>
      <w:r w:rsidRPr="009C685E">
        <w:t>, 1015-1021 (2014)</w:t>
      </w:r>
    </w:p>
    <w:p w14:paraId="17B4C0C6" w14:textId="693D2874" w:rsidR="00EC55D6" w:rsidRPr="009C685E" w:rsidRDefault="00806DD9" w:rsidP="003F4669">
      <w:pPr>
        <w:jc w:val="both"/>
      </w:pPr>
      <w:r>
        <w:t>von Stetten</w:t>
      </w:r>
      <w:r w:rsidR="00EC55D6" w:rsidRPr="009C685E">
        <w:t xml:space="preserve">, D., </w:t>
      </w:r>
      <w:r w:rsidR="00EC55D6" w:rsidRPr="00772FF4">
        <w:rPr>
          <w:u w:val="single"/>
        </w:rPr>
        <w:t>Batot, G. O.</w:t>
      </w:r>
      <w:r w:rsidR="00EC55D6" w:rsidRPr="009C685E">
        <w:t xml:space="preserve">, Noirclerc-Savoye, M. &amp; </w:t>
      </w:r>
      <w:r>
        <w:rPr>
          <w:u w:val="single"/>
        </w:rPr>
        <w:t>Royant</w:t>
      </w:r>
      <w:r w:rsidR="00EC55D6" w:rsidRPr="00772FF4">
        <w:rPr>
          <w:u w:val="single"/>
        </w:rPr>
        <w:t>, A.</w:t>
      </w:r>
      <w:r w:rsidR="00EC55D6" w:rsidRPr="009C685E">
        <w:t xml:space="preserve"> Alteration of fluorescent protein spectroscopic properties upon cryoprotection. </w:t>
      </w:r>
      <w:r w:rsidR="00EC55D6" w:rsidRPr="00772FF4">
        <w:rPr>
          <w:i/>
        </w:rPr>
        <w:t>Acta Crystallogr. D</w:t>
      </w:r>
      <w:r w:rsidR="00EC55D6" w:rsidRPr="00772FF4">
        <w:rPr>
          <w:b/>
        </w:rPr>
        <w:t>68</w:t>
      </w:r>
      <w:r w:rsidR="00EC55D6" w:rsidRPr="009C685E">
        <w:t>, 1578-1583 (2012)</w:t>
      </w:r>
    </w:p>
    <w:p w14:paraId="0C542EC6" w14:textId="77777777" w:rsidR="00EC55D6" w:rsidRDefault="00EC55D6" w:rsidP="003F4669">
      <w:pPr>
        <w:jc w:val="both"/>
      </w:pPr>
      <w:r>
        <w:rPr>
          <w:b/>
        </w:rPr>
        <w:t xml:space="preserve">Situation actuelle : </w:t>
      </w:r>
      <w:r w:rsidRPr="00772FF4">
        <w:t>postdoc da</w:t>
      </w:r>
      <w:r>
        <w:t>ns le laboratoire de Chris Hill à l’Université d’Utah</w:t>
      </w:r>
    </w:p>
    <w:p w14:paraId="149306F2" w14:textId="49F32EE7" w:rsidR="00EC55D6" w:rsidRDefault="00644566" w:rsidP="003F4669">
      <w:pPr>
        <w:jc w:val="both"/>
        <w:rPr>
          <w:b/>
        </w:rPr>
      </w:pPr>
      <w:r>
        <w:rPr>
          <w:b/>
        </w:rPr>
        <w:t xml:space="preserve">(2) </w:t>
      </w:r>
      <w:r w:rsidR="00EC55D6">
        <w:rPr>
          <w:b/>
        </w:rPr>
        <w:t>Damien CLAVEL</w:t>
      </w:r>
    </w:p>
    <w:p w14:paraId="677E4169" w14:textId="77777777" w:rsidR="00EC55D6" w:rsidRDefault="00EC55D6" w:rsidP="003F4669">
      <w:pPr>
        <w:jc w:val="both"/>
        <w:rPr>
          <w:b/>
        </w:rPr>
      </w:pPr>
      <w:r>
        <w:rPr>
          <w:b/>
        </w:rPr>
        <w:t xml:space="preserve">Soutenance de thèse : </w:t>
      </w:r>
      <w:r w:rsidRPr="009C685E">
        <w:t>l</w:t>
      </w:r>
      <w:r>
        <w:t>e 20 décembre 2016 à Orsay</w:t>
      </w:r>
    </w:p>
    <w:p w14:paraId="71A04EA1" w14:textId="77777777" w:rsidR="00EC55D6" w:rsidRDefault="00EC55D6" w:rsidP="003F4669">
      <w:pPr>
        <w:jc w:val="both"/>
        <w:rPr>
          <w:b/>
        </w:rPr>
      </w:pPr>
      <w:r>
        <w:rPr>
          <w:b/>
        </w:rPr>
        <w:t xml:space="preserve">Durée de la thèse : </w:t>
      </w:r>
      <w:r>
        <w:t>38</w:t>
      </w:r>
      <w:r w:rsidRPr="009C685E">
        <w:t xml:space="preserve"> mois</w:t>
      </w:r>
    </w:p>
    <w:p w14:paraId="2DF56F80" w14:textId="5858D4D6" w:rsidR="00EC55D6" w:rsidRDefault="003F4669" w:rsidP="003F4669">
      <w:pPr>
        <w:jc w:val="both"/>
        <w:rPr>
          <w:b/>
        </w:rPr>
      </w:pPr>
      <w:r>
        <w:rPr>
          <w:b/>
        </w:rPr>
        <w:t>Publication</w:t>
      </w:r>
      <w:r w:rsidR="00EC55D6">
        <w:rPr>
          <w:b/>
        </w:rPr>
        <w:t> :</w:t>
      </w:r>
    </w:p>
    <w:p w14:paraId="3BC34277" w14:textId="1E6DCE8A" w:rsidR="00EC55D6" w:rsidRPr="009C685E" w:rsidRDefault="00806DD9" w:rsidP="003F4669">
      <w:pPr>
        <w:jc w:val="both"/>
      </w:pPr>
      <w:r>
        <w:rPr>
          <w:u w:val="single"/>
        </w:rPr>
        <w:t>Clavel</w:t>
      </w:r>
      <w:r w:rsidR="00EC55D6" w:rsidRPr="00EC55D6">
        <w:rPr>
          <w:u w:val="single"/>
        </w:rPr>
        <w:t>, D.</w:t>
      </w:r>
      <w:r>
        <w:t>, Gotthard</w:t>
      </w:r>
      <w:r w:rsidR="00EC55D6" w:rsidRPr="00EC55D6">
        <w:t xml:space="preserve">, G., von Stetten, D., De Sanctis, D., Pasquier, H., Lambert, G.G., Shaner, N.C., </w:t>
      </w:r>
      <w:r>
        <w:rPr>
          <w:u w:val="single"/>
        </w:rPr>
        <w:t>Royant</w:t>
      </w:r>
      <w:r w:rsidR="00EC55D6" w:rsidRPr="00EC55D6">
        <w:rPr>
          <w:u w:val="single"/>
        </w:rPr>
        <w:t>, A.</w:t>
      </w:r>
      <w:r w:rsidR="00EC55D6" w:rsidRPr="00EC55D6">
        <w:t xml:space="preserve"> Structural analysis of the bright monomeric yellow-green fluorescent protein mNeonGreen obtained by directed evolution. </w:t>
      </w:r>
      <w:r w:rsidR="00EC55D6" w:rsidRPr="00EC55D6">
        <w:rPr>
          <w:i/>
        </w:rPr>
        <w:t>Acta Crystallogr.</w:t>
      </w:r>
      <w:r w:rsidR="00EC55D6" w:rsidRPr="00EC55D6">
        <w:t xml:space="preserve"> D</w:t>
      </w:r>
      <w:r w:rsidR="00EC55D6" w:rsidRPr="00EC55D6">
        <w:rPr>
          <w:b/>
        </w:rPr>
        <w:t>72</w:t>
      </w:r>
      <w:r w:rsidR="00EC55D6" w:rsidRPr="00EC55D6">
        <w:t>, 1298-1307 (2016)</w:t>
      </w:r>
    </w:p>
    <w:p w14:paraId="2A5A9338" w14:textId="4DB14F16" w:rsidR="00EC55D6" w:rsidRDefault="00EC55D6" w:rsidP="003F4669">
      <w:pPr>
        <w:jc w:val="both"/>
        <w:rPr>
          <w:b/>
        </w:rPr>
      </w:pPr>
      <w:r>
        <w:rPr>
          <w:b/>
        </w:rPr>
        <w:t xml:space="preserve">Situation actuelle : </w:t>
      </w:r>
      <w:r w:rsidRPr="00772FF4">
        <w:t xml:space="preserve">postdoc </w:t>
      </w:r>
      <w:r>
        <w:t>de 6 mois au sein de l’IBS à Grenoble</w:t>
      </w:r>
    </w:p>
    <w:p w14:paraId="6FCEA39B" w14:textId="00A01CF2" w:rsidR="004E30F0" w:rsidRDefault="004E30F0" w:rsidP="003F4669">
      <w:pPr>
        <w:jc w:val="both"/>
      </w:pPr>
      <w:r w:rsidRPr="0050058C">
        <w:rPr>
          <w:b/>
        </w:rPr>
        <w:t>Thèses en cours encadrées par le Directeur de</w:t>
      </w:r>
      <w:r>
        <w:t xml:space="preserve"> </w:t>
      </w:r>
      <w:r>
        <w:rPr>
          <w:b/>
        </w:rPr>
        <w:t>thèse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276"/>
        <w:gridCol w:w="1559"/>
        <w:gridCol w:w="3859"/>
      </w:tblGrid>
      <w:tr w:rsidR="004E30F0" w:rsidRPr="00077E2E" w14:paraId="68D438AF" w14:textId="77777777">
        <w:tc>
          <w:tcPr>
            <w:tcW w:w="2518" w:type="dxa"/>
            <w:vAlign w:val="center"/>
          </w:tcPr>
          <w:p w14:paraId="65677076" w14:textId="77777777" w:rsidR="004E30F0" w:rsidRPr="00077E2E" w:rsidRDefault="004E30F0" w:rsidP="00077E2E">
            <w:pPr>
              <w:spacing w:after="0" w:line="240" w:lineRule="auto"/>
              <w:jc w:val="center"/>
              <w:rPr>
                <w:sz w:val="20"/>
                <w:szCs w:val="20"/>
              </w:rPr>
            </w:pPr>
            <w:r w:rsidRPr="00077E2E">
              <w:rPr>
                <w:sz w:val="20"/>
                <w:szCs w:val="20"/>
              </w:rPr>
              <w:t>Nom, Prénom du doctorant</w:t>
            </w:r>
          </w:p>
        </w:tc>
        <w:tc>
          <w:tcPr>
            <w:tcW w:w="1276" w:type="dxa"/>
            <w:vAlign w:val="center"/>
          </w:tcPr>
          <w:p w14:paraId="4C524226" w14:textId="77777777" w:rsidR="004E30F0" w:rsidRPr="00077E2E" w:rsidRDefault="004E30F0" w:rsidP="00077E2E">
            <w:pPr>
              <w:spacing w:after="0" w:line="240" w:lineRule="auto"/>
              <w:jc w:val="center"/>
              <w:rPr>
                <w:sz w:val="20"/>
                <w:szCs w:val="20"/>
              </w:rPr>
            </w:pPr>
            <w:r w:rsidRPr="00077E2E">
              <w:rPr>
                <w:sz w:val="20"/>
                <w:szCs w:val="20"/>
              </w:rPr>
              <w:t>Date de début de thèse</w:t>
            </w:r>
          </w:p>
        </w:tc>
        <w:tc>
          <w:tcPr>
            <w:tcW w:w="1559" w:type="dxa"/>
            <w:vAlign w:val="center"/>
          </w:tcPr>
          <w:p w14:paraId="0AC07922" w14:textId="77777777" w:rsidR="004E30F0" w:rsidRPr="00077E2E" w:rsidRDefault="004E30F0" w:rsidP="00077E2E">
            <w:pPr>
              <w:spacing w:after="0" w:line="240" w:lineRule="auto"/>
              <w:jc w:val="center"/>
              <w:rPr>
                <w:sz w:val="20"/>
                <w:szCs w:val="20"/>
              </w:rPr>
            </w:pPr>
            <w:r w:rsidRPr="00077E2E">
              <w:rPr>
                <w:sz w:val="20"/>
                <w:szCs w:val="20"/>
              </w:rPr>
              <w:t>Type de financement</w:t>
            </w:r>
          </w:p>
        </w:tc>
        <w:tc>
          <w:tcPr>
            <w:tcW w:w="3859" w:type="dxa"/>
            <w:vAlign w:val="center"/>
          </w:tcPr>
          <w:p w14:paraId="14F3D237" w14:textId="77777777" w:rsidR="004E30F0" w:rsidRPr="00077E2E" w:rsidRDefault="004E30F0" w:rsidP="00077E2E">
            <w:pPr>
              <w:spacing w:after="0" w:line="240" w:lineRule="auto"/>
              <w:jc w:val="center"/>
              <w:rPr>
                <w:sz w:val="20"/>
                <w:szCs w:val="20"/>
              </w:rPr>
            </w:pPr>
            <w:r w:rsidRPr="00077E2E">
              <w:rPr>
                <w:sz w:val="20"/>
                <w:szCs w:val="20"/>
              </w:rPr>
              <w:t>Indiquer, le cas échéant, s’il s’agit d’une co-direction, d’une co-tutelle,…</w:t>
            </w:r>
          </w:p>
        </w:tc>
      </w:tr>
      <w:tr w:rsidR="004E30F0" w:rsidRPr="00077E2E" w14:paraId="6D3F40C8" w14:textId="77777777">
        <w:tc>
          <w:tcPr>
            <w:tcW w:w="2518" w:type="dxa"/>
          </w:tcPr>
          <w:p w14:paraId="308F6DF6" w14:textId="77777777" w:rsidR="004E30F0" w:rsidRPr="00077E2E" w:rsidRDefault="00EC55D6" w:rsidP="00077E2E">
            <w:pPr>
              <w:spacing w:after="0" w:line="240" w:lineRule="auto"/>
            </w:pPr>
            <w:r>
              <w:t>LAFUMAT Bénédicte</w:t>
            </w:r>
          </w:p>
        </w:tc>
        <w:tc>
          <w:tcPr>
            <w:tcW w:w="1276" w:type="dxa"/>
          </w:tcPr>
          <w:p w14:paraId="097A4EC9" w14:textId="6442F2E2" w:rsidR="004E30F0" w:rsidRPr="00077E2E" w:rsidRDefault="003F4669" w:rsidP="00077E2E">
            <w:pPr>
              <w:spacing w:after="0" w:line="240" w:lineRule="auto"/>
            </w:pPr>
            <w:r>
              <w:t>Sep</w:t>
            </w:r>
            <w:bookmarkStart w:id="0" w:name="_GoBack"/>
            <w:bookmarkEnd w:id="0"/>
            <w:r w:rsidR="00EC55D6">
              <w:t>. 2013</w:t>
            </w:r>
          </w:p>
        </w:tc>
        <w:tc>
          <w:tcPr>
            <w:tcW w:w="1559" w:type="dxa"/>
          </w:tcPr>
          <w:p w14:paraId="342D3562" w14:textId="77777777" w:rsidR="004E30F0" w:rsidRPr="00077E2E" w:rsidRDefault="00EC55D6" w:rsidP="00077E2E">
            <w:pPr>
              <w:spacing w:after="0" w:line="240" w:lineRule="auto"/>
            </w:pPr>
            <w:r>
              <w:t>ESRF + ESS Lund</w:t>
            </w:r>
          </w:p>
        </w:tc>
        <w:tc>
          <w:tcPr>
            <w:tcW w:w="3859" w:type="dxa"/>
          </w:tcPr>
          <w:p w14:paraId="4565CB91" w14:textId="77777777" w:rsidR="004E30F0" w:rsidRPr="00077E2E" w:rsidRDefault="00E453FE" w:rsidP="00077E2E">
            <w:pPr>
              <w:spacing w:after="0" w:line="240" w:lineRule="auto"/>
            </w:pPr>
            <w:r>
              <w:t xml:space="preserve">Co-encadrants : </w:t>
            </w:r>
            <w:r w:rsidR="00812335">
              <w:t>Gordon Leonard et Philippe Carpentier</w:t>
            </w:r>
          </w:p>
        </w:tc>
      </w:tr>
      <w:tr w:rsidR="004E30F0" w:rsidRPr="00077E2E" w14:paraId="162BDF9A" w14:textId="77777777">
        <w:tc>
          <w:tcPr>
            <w:tcW w:w="2518" w:type="dxa"/>
          </w:tcPr>
          <w:p w14:paraId="2EA520F5" w14:textId="77777777" w:rsidR="004E30F0" w:rsidRPr="00077E2E" w:rsidRDefault="00812335" w:rsidP="00077E2E">
            <w:pPr>
              <w:spacing w:after="0" w:line="240" w:lineRule="auto"/>
            </w:pPr>
            <w:r>
              <w:t>AUMONIER Sylvain</w:t>
            </w:r>
          </w:p>
        </w:tc>
        <w:tc>
          <w:tcPr>
            <w:tcW w:w="1276" w:type="dxa"/>
          </w:tcPr>
          <w:p w14:paraId="0FEE2ADA" w14:textId="77777777" w:rsidR="004E30F0" w:rsidRPr="00077E2E" w:rsidRDefault="00812335" w:rsidP="00077E2E">
            <w:pPr>
              <w:spacing w:after="0" w:line="240" w:lineRule="auto"/>
            </w:pPr>
            <w:r>
              <w:t>Sep. 2015</w:t>
            </w:r>
          </w:p>
        </w:tc>
        <w:tc>
          <w:tcPr>
            <w:tcW w:w="1559" w:type="dxa"/>
          </w:tcPr>
          <w:p w14:paraId="3EEEAA7D" w14:textId="77777777" w:rsidR="004E30F0" w:rsidRPr="00077E2E" w:rsidRDefault="00812335" w:rsidP="00077E2E">
            <w:pPr>
              <w:spacing w:after="0" w:line="240" w:lineRule="auto"/>
            </w:pPr>
            <w:r>
              <w:t>ESRF</w:t>
            </w:r>
          </w:p>
        </w:tc>
        <w:tc>
          <w:tcPr>
            <w:tcW w:w="3859" w:type="dxa"/>
          </w:tcPr>
          <w:p w14:paraId="650F4736" w14:textId="77777777" w:rsidR="004E30F0" w:rsidRPr="00077E2E" w:rsidRDefault="00812335" w:rsidP="00077E2E">
            <w:pPr>
              <w:spacing w:after="0" w:line="240" w:lineRule="auto"/>
            </w:pPr>
            <w:r>
              <w:t>Co-tutelle (Directeur de thèse : Gordon Leonard</w:t>
            </w:r>
            <w:r w:rsidR="00E453FE">
              <w:t>, autre co-encadrant : David von Stetten</w:t>
            </w:r>
            <w:r>
              <w:t>)</w:t>
            </w:r>
          </w:p>
        </w:tc>
      </w:tr>
    </w:tbl>
    <w:p w14:paraId="6F4AF200" w14:textId="77777777" w:rsidR="004E30F0" w:rsidRDefault="004E30F0" w:rsidP="00F444A7"/>
    <w:p w14:paraId="2932DB38" w14:textId="14162AE7" w:rsidR="004E30F0" w:rsidRPr="0038473B" w:rsidRDefault="004E30F0" w:rsidP="00F444A7">
      <w:pPr>
        <w:rPr>
          <w:b/>
        </w:rPr>
      </w:pPr>
      <w:r w:rsidRPr="00B01B7E">
        <w:rPr>
          <w:b/>
        </w:rPr>
        <w:t>Nombre de chercheurs et enseignant-chercheurs titulaires d’une HDR dans l’équipe</w:t>
      </w:r>
      <w:r w:rsidR="003F4669">
        <w:rPr>
          <w:b/>
        </w:rPr>
        <w:t>/</w:t>
      </w:r>
      <w:r w:rsidR="00812335">
        <w:rPr>
          <w:b/>
        </w:rPr>
        <w:t>groupe</w:t>
      </w:r>
      <w:r>
        <w:t> :</w:t>
      </w:r>
      <w:r w:rsidR="00EC55D6">
        <w:t xml:space="preserve"> </w:t>
      </w:r>
      <w:r w:rsidR="003F4669" w:rsidRPr="003F4669">
        <w:t>1</w:t>
      </w:r>
      <w:r w:rsidR="003F4669">
        <w:t xml:space="preserve"> </w:t>
      </w:r>
      <w:r w:rsidR="00812335" w:rsidRPr="003F4669">
        <w:t>(4)</w:t>
      </w:r>
    </w:p>
    <w:p w14:paraId="5F82F970" w14:textId="3178A35B" w:rsidR="004E30F0" w:rsidRPr="003F4669" w:rsidRDefault="004E30F0">
      <w:pPr>
        <w:rPr>
          <w:b/>
        </w:rPr>
      </w:pPr>
      <w:r w:rsidRPr="00B01B7E">
        <w:rPr>
          <w:b/>
        </w:rPr>
        <w:t>Nombre total d</w:t>
      </w:r>
      <w:r w:rsidR="003F4669">
        <w:rPr>
          <w:b/>
        </w:rPr>
        <w:t xml:space="preserve">e thèses en cours dans l’équipe/groupe </w:t>
      </w:r>
      <w:r w:rsidRPr="00B01B7E">
        <w:rPr>
          <w:b/>
        </w:rPr>
        <w:t>:</w:t>
      </w:r>
      <w:r w:rsidR="00EC55D6">
        <w:rPr>
          <w:b/>
        </w:rPr>
        <w:t xml:space="preserve"> </w:t>
      </w:r>
      <w:r w:rsidR="00EC55D6" w:rsidRPr="003F4669">
        <w:t>2</w:t>
      </w:r>
      <w:r w:rsidR="00812335" w:rsidRPr="003F4669">
        <w:t xml:space="preserve"> (2)</w:t>
      </w:r>
    </w:p>
    <w:sectPr w:rsidR="004E30F0" w:rsidRPr="003F4669" w:rsidSect="00792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957B77"/>
    <w:rsid w:val="00077E2E"/>
    <w:rsid w:val="000D5880"/>
    <w:rsid w:val="00161F15"/>
    <w:rsid w:val="001F64FD"/>
    <w:rsid w:val="00224804"/>
    <w:rsid w:val="00237CD2"/>
    <w:rsid w:val="002C57B1"/>
    <w:rsid w:val="002D236F"/>
    <w:rsid w:val="0038473B"/>
    <w:rsid w:val="003F4669"/>
    <w:rsid w:val="004E30F0"/>
    <w:rsid w:val="0050058C"/>
    <w:rsid w:val="00574027"/>
    <w:rsid w:val="00644566"/>
    <w:rsid w:val="00661DC6"/>
    <w:rsid w:val="006F0313"/>
    <w:rsid w:val="006F510D"/>
    <w:rsid w:val="00711A15"/>
    <w:rsid w:val="00791D78"/>
    <w:rsid w:val="00792E39"/>
    <w:rsid w:val="00806DD9"/>
    <w:rsid w:val="00812335"/>
    <w:rsid w:val="008D1BDE"/>
    <w:rsid w:val="009269D2"/>
    <w:rsid w:val="00957B77"/>
    <w:rsid w:val="0098422C"/>
    <w:rsid w:val="009F2CE7"/>
    <w:rsid w:val="00A12AFA"/>
    <w:rsid w:val="00B01B7E"/>
    <w:rsid w:val="00B4666C"/>
    <w:rsid w:val="00B51EF4"/>
    <w:rsid w:val="00BB63AE"/>
    <w:rsid w:val="00BC7518"/>
    <w:rsid w:val="00C33DB1"/>
    <w:rsid w:val="00D41A6A"/>
    <w:rsid w:val="00D604CC"/>
    <w:rsid w:val="00DF31BE"/>
    <w:rsid w:val="00E453FE"/>
    <w:rsid w:val="00EA639B"/>
    <w:rsid w:val="00EB68A4"/>
    <w:rsid w:val="00EC55D6"/>
    <w:rsid w:val="00F44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44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B0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B63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63AE"/>
    <w:rPr>
      <w:rFonts w:ascii="Segoe UI" w:hAnsi="Segoe UI" w:cs="Segoe UI"/>
      <w:sz w:val="18"/>
      <w:szCs w:val="18"/>
      <w:lang w:eastAsia="en-US"/>
    </w:rPr>
  </w:style>
  <w:style w:type="character" w:styleId="Lienhypertexte">
    <w:name w:val="Hyperlink"/>
    <w:basedOn w:val="Policepardfaut"/>
    <w:uiPriority w:val="99"/>
    <w:unhideWhenUsed/>
    <w:rsid w:val="00EC55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toine.royant@ibs.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1198</Words>
  <Characters>6594</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Proposition de sujet de thèse</vt:lpstr>
    </vt:vector>
  </TitlesOfParts>
  <Company>Hewlett-Packard Company</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sujet de thèse</dc:title>
  <dc:creator>Christelle Breton</dc:creator>
  <cp:lastModifiedBy>Antoine Royant</cp:lastModifiedBy>
  <cp:revision>7</cp:revision>
  <cp:lastPrinted>2015-12-11T15:09:00Z</cp:lastPrinted>
  <dcterms:created xsi:type="dcterms:W3CDTF">2017-02-06T14:48:00Z</dcterms:created>
  <dcterms:modified xsi:type="dcterms:W3CDTF">2017-02-10T12:08:00Z</dcterms:modified>
</cp:coreProperties>
</file>