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C6BA4" w14:textId="77777777" w:rsidR="00372BE6" w:rsidRPr="00957135" w:rsidRDefault="00372BE6" w:rsidP="00372BE6">
      <w:pPr>
        <w:jc w:val="center"/>
        <w:rPr>
          <w:b/>
          <w:color w:val="5B9BD5" w:themeColor="accent1"/>
          <w:sz w:val="28"/>
          <w:szCs w:val="28"/>
        </w:rPr>
      </w:pPr>
      <w:r w:rsidRPr="00957135">
        <w:rPr>
          <w:b/>
          <w:color w:val="5B9BD5" w:themeColor="accent1"/>
          <w:sz w:val="28"/>
          <w:szCs w:val="28"/>
        </w:rPr>
        <w:t>Chercheur (H/F) en Microbiologie/Bactériologie</w:t>
      </w:r>
    </w:p>
    <w:p w14:paraId="24CA2F6C" w14:textId="77777777" w:rsidR="00372BE6" w:rsidRPr="00372BE6" w:rsidRDefault="00372BE6" w:rsidP="00372BE6">
      <w:pPr>
        <w:spacing w:after="0"/>
        <w:rPr>
          <w:b/>
        </w:rPr>
      </w:pPr>
      <w:r w:rsidRPr="00372BE6">
        <w:rPr>
          <w:b/>
        </w:rPr>
        <w:t xml:space="preserve">Description de la structure </w:t>
      </w:r>
    </w:p>
    <w:p w14:paraId="7B8A0897" w14:textId="77777777" w:rsidR="00372BE6" w:rsidRDefault="00372BE6" w:rsidP="00372BE6">
      <w:pPr>
        <w:spacing w:after="0"/>
        <w:jc w:val="both"/>
      </w:pPr>
      <w:r>
        <w:t xml:space="preserve">Situé sur le Polygone scientifique de Grenoble (ESRF/ILL/EMBL/IBS), l’Institut de Biologie Structurale (IBS) est un acteur d’envergure nationale et internationale dans le domaine de la biologie structurale intégrée. A la fois centre de recherche, plateau technique, site d'accueil et de formation scientifique, l'IBS a pour vocation le développement de recherches en biologie structurale, un champ de recherche capital pour la compréhension des mécanismes biologiques fondamentaux. Il s’appuie sur 12 plateformes à la pointe de la technologie. </w:t>
      </w:r>
    </w:p>
    <w:p w14:paraId="79787832" w14:textId="77777777" w:rsidR="00372BE6" w:rsidRDefault="00372BE6" w:rsidP="00372BE6">
      <w:pPr>
        <w:spacing w:after="0"/>
        <w:jc w:val="both"/>
      </w:pPr>
      <w:r>
        <w:t xml:space="preserve">La personne recrutée intègrera le groupe de recherche PB&amp;RC (Pathogènie Bactérienne et Réponses Cellulaires) qui travaille sur les facteurs de virulence et l’interactions entre </w:t>
      </w:r>
      <w:r w:rsidRPr="00372BE6">
        <w:rPr>
          <w:i/>
        </w:rPr>
        <w:t>Pseudomonas aeruginosa</w:t>
      </w:r>
      <w:r>
        <w:t xml:space="preserve"> et son hôte. L’équipe travaille en collaboration avec plusieurs groupes d’IBS.</w:t>
      </w:r>
    </w:p>
    <w:p w14:paraId="1DA8135F" w14:textId="77777777" w:rsidR="00372BE6" w:rsidRDefault="00372BE6">
      <w:pPr>
        <w:rPr>
          <w:b/>
        </w:rPr>
      </w:pPr>
    </w:p>
    <w:p w14:paraId="53FBEB11" w14:textId="77777777" w:rsidR="00372BE6" w:rsidRPr="00372BE6" w:rsidRDefault="00372BE6" w:rsidP="00372BE6">
      <w:pPr>
        <w:spacing w:after="0"/>
        <w:rPr>
          <w:b/>
        </w:rPr>
      </w:pPr>
      <w:r w:rsidRPr="00372BE6">
        <w:rPr>
          <w:b/>
        </w:rPr>
        <w:t xml:space="preserve">Missions / fonctions assurées : </w:t>
      </w:r>
    </w:p>
    <w:p w14:paraId="0275D6ED" w14:textId="77777777" w:rsidR="00372BE6" w:rsidRDefault="00372BE6" w:rsidP="00372BE6">
      <w:pPr>
        <w:spacing w:after="0"/>
        <w:jc w:val="both"/>
      </w:pPr>
      <w:r>
        <w:t xml:space="preserve">La mission principale est d'étudier le rôle de plusieurs protéines périplasmiques identifiées dans un crible génétique du génome entier dans la synthèse du peptidoglycane (PG) chez un pathogène humain </w:t>
      </w:r>
      <w:r w:rsidRPr="00372BE6">
        <w:rPr>
          <w:i/>
        </w:rPr>
        <w:t>Pseudomonas aeruginosa</w:t>
      </w:r>
      <w:r>
        <w:t xml:space="preserve">. Cet objectif sera atteint par une analyse phénotypique approfondie de mutants simples et doubles. Le candidat utilisera également la microscopie à fluorescence pour étudier la dynamique de ces protéines pendant la division et la croissance cellulaires. </w:t>
      </w:r>
    </w:p>
    <w:p w14:paraId="7DC2FD36" w14:textId="77777777" w:rsidR="00372BE6" w:rsidRDefault="00372BE6" w:rsidP="00372BE6">
      <w:pPr>
        <w:jc w:val="both"/>
        <w:rPr>
          <w:b/>
        </w:rPr>
      </w:pPr>
    </w:p>
    <w:p w14:paraId="3C790CE3" w14:textId="77777777" w:rsidR="00372BE6" w:rsidRDefault="00372BE6" w:rsidP="00372BE6">
      <w:pPr>
        <w:spacing w:after="0"/>
        <w:jc w:val="both"/>
      </w:pPr>
      <w:r w:rsidRPr="00372BE6">
        <w:rPr>
          <w:b/>
        </w:rPr>
        <w:t>Activités principales</w:t>
      </w:r>
      <w:r>
        <w:t xml:space="preserve">: </w:t>
      </w:r>
    </w:p>
    <w:p w14:paraId="0AF02C39" w14:textId="77777777" w:rsidR="00372BE6" w:rsidRDefault="00372BE6" w:rsidP="00372BE6">
      <w:pPr>
        <w:pStyle w:val="Paragraphedeliste"/>
        <w:numPr>
          <w:ilvl w:val="0"/>
          <w:numId w:val="7"/>
        </w:numPr>
        <w:spacing w:after="0"/>
        <w:jc w:val="both"/>
      </w:pPr>
      <w:r>
        <w:t xml:space="preserve">Etablir, sur la base des prédictions protéiques et des travaux publiés, les protocoles pour évaluer les caractéristiques phénotypiques des mutants knock-out (viabilité sous stress, synthèse de PG, virulence). </w:t>
      </w:r>
    </w:p>
    <w:p w14:paraId="3ADD2C52" w14:textId="77777777" w:rsidR="00372BE6" w:rsidRDefault="00372BE6" w:rsidP="00372BE6">
      <w:pPr>
        <w:pStyle w:val="Paragraphedeliste"/>
        <w:numPr>
          <w:ilvl w:val="0"/>
          <w:numId w:val="7"/>
        </w:numPr>
        <w:jc w:val="both"/>
      </w:pPr>
      <w:r>
        <w:t xml:space="preserve">Concevoir et construire des souches bactériennes génétiquement modifiées exprimant différentes protéines de fusion fluorescentes dans </w:t>
      </w:r>
      <w:r w:rsidRPr="00372BE6">
        <w:rPr>
          <w:i/>
        </w:rPr>
        <w:t>Pseudomonas aeruginosa</w:t>
      </w:r>
      <w:r>
        <w:t>.</w:t>
      </w:r>
    </w:p>
    <w:p w14:paraId="51FA26AC" w14:textId="6F990293" w:rsidR="00D64B3B" w:rsidRDefault="00372BE6" w:rsidP="00372BE6">
      <w:pPr>
        <w:pStyle w:val="Paragraphedeliste"/>
        <w:numPr>
          <w:ilvl w:val="0"/>
          <w:numId w:val="7"/>
        </w:numPr>
        <w:jc w:val="both"/>
      </w:pPr>
      <w:r>
        <w:t>Etablir des protocoles et réalise</w:t>
      </w:r>
      <w:r w:rsidR="00B41955">
        <w:t>r</w:t>
      </w:r>
      <w:r>
        <w:t xml:space="preserve"> des expériences pour observer et mesurer la dynamique de certaines protéines périplasmiques pendant la division et la croissance bactériennes (en collaboration avec les membres de</w:t>
      </w:r>
      <w:r w:rsidR="00B41955">
        <w:t xml:space="preserve"> la plateforme d’imagerie </w:t>
      </w:r>
      <w:r>
        <w:t>de l'Institut (</w:t>
      </w:r>
      <w:hyperlink r:id="rId5" w:history="1">
        <w:r w:rsidRPr="00356C78">
          <w:rPr>
            <w:rStyle w:val="Lienhypertexte"/>
          </w:rPr>
          <w:t>https://www.isbg.fr/cellular-analysis/cellular-imaging/?lang=en</w:t>
        </w:r>
      </w:hyperlink>
      <w:r>
        <w:t>).</w:t>
      </w:r>
    </w:p>
    <w:p w14:paraId="04AA6902" w14:textId="77777777" w:rsidR="00372BE6" w:rsidRPr="00372BE6" w:rsidRDefault="00372BE6" w:rsidP="00372BE6">
      <w:pPr>
        <w:spacing w:after="0"/>
        <w:rPr>
          <w:b/>
        </w:rPr>
      </w:pPr>
      <w:r w:rsidRPr="00372BE6">
        <w:rPr>
          <w:b/>
        </w:rPr>
        <w:t>Profil recherché</w:t>
      </w:r>
    </w:p>
    <w:p w14:paraId="188B2102" w14:textId="77777777" w:rsidR="00372BE6" w:rsidRDefault="00372BE6" w:rsidP="00372BE6">
      <w:pPr>
        <w:spacing w:after="0"/>
      </w:pPr>
      <w:r w:rsidRPr="00372BE6">
        <w:rPr>
          <w:i/>
        </w:rPr>
        <w:t>Compétences métier/savoir-faire</w:t>
      </w:r>
      <w:r>
        <w:t xml:space="preserve"> (compétences techniques/opérationnelles, relationnelles, managériales) </w:t>
      </w:r>
    </w:p>
    <w:p w14:paraId="2C7E14CE" w14:textId="5A75E5A2" w:rsidR="00372BE6" w:rsidRPr="00130976" w:rsidRDefault="00130976" w:rsidP="00372BE6">
      <w:pPr>
        <w:pStyle w:val="Paragraphedeliste"/>
        <w:numPr>
          <w:ilvl w:val="0"/>
          <w:numId w:val="4"/>
        </w:numPr>
      </w:pPr>
      <w:r w:rsidRPr="00130976">
        <w:t>Bactériologie</w:t>
      </w:r>
      <w:r w:rsidR="00372BE6" w:rsidRPr="00130976">
        <w:t xml:space="preserve"> </w:t>
      </w:r>
      <w:r w:rsidRPr="00130976">
        <w:t>et génétique microbienne</w:t>
      </w:r>
    </w:p>
    <w:p w14:paraId="7BF0FCD2" w14:textId="7150E118" w:rsidR="00372BE6" w:rsidRPr="00130976" w:rsidRDefault="00130976" w:rsidP="00372BE6">
      <w:pPr>
        <w:pStyle w:val="Paragraphedeliste"/>
        <w:numPr>
          <w:ilvl w:val="0"/>
          <w:numId w:val="4"/>
        </w:numPr>
      </w:pPr>
      <w:r w:rsidRPr="00130976">
        <w:t xml:space="preserve">Biologie </w:t>
      </w:r>
      <w:bookmarkStart w:id="0" w:name="_GoBack"/>
      <w:bookmarkEnd w:id="0"/>
      <w:r>
        <w:t>mo</w:t>
      </w:r>
      <w:r w:rsidRPr="00130976">
        <w:t xml:space="preserve">léculaire </w:t>
      </w:r>
    </w:p>
    <w:p w14:paraId="67200A42" w14:textId="2B5EF9A2" w:rsidR="00372BE6" w:rsidRPr="00130976" w:rsidRDefault="00130976" w:rsidP="00372BE6">
      <w:pPr>
        <w:pStyle w:val="Paragraphedeliste"/>
        <w:numPr>
          <w:ilvl w:val="0"/>
          <w:numId w:val="4"/>
        </w:numPr>
      </w:pPr>
      <w:r w:rsidRPr="00130976">
        <w:t>Microscopie par f</w:t>
      </w:r>
      <w:r w:rsidR="00372BE6" w:rsidRPr="00130976">
        <w:t xml:space="preserve">luorescent </w:t>
      </w:r>
    </w:p>
    <w:p w14:paraId="53367D7D" w14:textId="77777777" w:rsidR="00372BE6" w:rsidRDefault="00372BE6">
      <w:r w:rsidRPr="00372BE6">
        <w:rPr>
          <w:i/>
        </w:rPr>
        <w:t>Savoir être</w:t>
      </w:r>
      <w:r>
        <w:t xml:space="preserve"> (qualités professionnelles, aptitudes, attitudes/comportements attendus)</w:t>
      </w:r>
    </w:p>
    <w:p w14:paraId="6C78F362" w14:textId="53F3C41A" w:rsidR="00372BE6" w:rsidRDefault="00372BE6" w:rsidP="00372BE6">
      <w:pPr>
        <w:pStyle w:val="Paragraphedeliste"/>
        <w:numPr>
          <w:ilvl w:val="0"/>
          <w:numId w:val="5"/>
        </w:numPr>
      </w:pPr>
      <w:r>
        <w:t xml:space="preserve">Capacité de raisonnement analytique </w:t>
      </w:r>
    </w:p>
    <w:p w14:paraId="771DE1AC" w14:textId="49B6FDC6" w:rsidR="00372BE6" w:rsidRDefault="00372BE6" w:rsidP="00372BE6">
      <w:pPr>
        <w:pStyle w:val="Paragraphedeliste"/>
        <w:numPr>
          <w:ilvl w:val="0"/>
          <w:numId w:val="5"/>
        </w:numPr>
      </w:pPr>
      <w:r>
        <w:t xml:space="preserve">Sens de l’organisation </w:t>
      </w:r>
    </w:p>
    <w:p w14:paraId="5067730D" w14:textId="0C327717" w:rsidR="00372BE6" w:rsidRDefault="00372BE6" w:rsidP="00372BE6">
      <w:pPr>
        <w:pStyle w:val="Paragraphedeliste"/>
        <w:numPr>
          <w:ilvl w:val="0"/>
          <w:numId w:val="5"/>
        </w:numPr>
      </w:pPr>
      <w:r>
        <w:t>Sens relationnel</w:t>
      </w:r>
      <w:r w:rsidR="00B41955">
        <w:t>, travail en équipe</w:t>
      </w:r>
    </w:p>
    <w:p w14:paraId="2BB5A565" w14:textId="070F5EE3" w:rsidR="00372BE6" w:rsidRDefault="00372BE6" w:rsidP="00372BE6">
      <w:pPr>
        <w:pStyle w:val="Paragraphedeliste"/>
        <w:numPr>
          <w:ilvl w:val="0"/>
          <w:numId w:val="5"/>
        </w:numPr>
      </w:pPr>
      <w:r>
        <w:t>Capacité en communication (écrite/orale)</w:t>
      </w:r>
    </w:p>
    <w:p w14:paraId="7296EE34" w14:textId="77777777" w:rsidR="00372BE6" w:rsidRDefault="00372BE6"/>
    <w:p w14:paraId="233D2AEB" w14:textId="77777777" w:rsidR="00372BE6" w:rsidRDefault="00372BE6">
      <w:r w:rsidRPr="00372BE6">
        <w:rPr>
          <w:b/>
        </w:rPr>
        <w:t>Date d'embauche prévue :</w:t>
      </w:r>
      <w:r>
        <w:t xml:space="preserve"> 01/09/2023, pour une durée initiale de 12 mois (renouvelables 12 mois).</w:t>
      </w:r>
    </w:p>
    <w:sectPr w:rsidR="00372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E596" w16cex:dateUtc="2023-04-20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D05972" w16cid:durableId="27EBE5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EBF"/>
    <w:multiLevelType w:val="hybridMultilevel"/>
    <w:tmpl w:val="69344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07F"/>
    <w:multiLevelType w:val="hybridMultilevel"/>
    <w:tmpl w:val="1C52F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976"/>
    <w:multiLevelType w:val="hybridMultilevel"/>
    <w:tmpl w:val="80FE05D0"/>
    <w:lvl w:ilvl="0" w:tplc="82B03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B4DFC"/>
    <w:multiLevelType w:val="hybridMultilevel"/>
    <w:tmpl w:val="3272BC10"/>
    <w:lvl w:ilvl="0" w:tplc="82B03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5C3C"/>
    <w:multiLevelType w:val="hybridMultilevel"/>
    <w:tmpl w:val="8BE665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0A2F"/>
    <w:multiLevelType w:val="hybridMultilevel"/>
    <w:tmpl w:val="491877B2"/>
    <w:lvl w:ilvl="0" w:tplc="4F640F7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512C3B5A"/>
    <w:multiLevelType w:val="hybridMultilevel"/>
    <w:tmpl w:val="6D18B0D8"/>
    <w:lvl w:ilvl="0" w:tplc="82B03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A3884"/>
    <w:multiLevelType w:val="hybridMultilevel"/>
    <w:tmpl w:val="A13CF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E6"/>
    <w:rsid w:val="00130976"/>
    <w:rsid w:val="00372BE6"/>
    <w:rsid w:val="00957135"/>
    <w:rsid w:val="00B41955"/>
    <w:rsid w:val="00D6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D0F4"/>
  <w15:chartTrackingRefBased/>
  <w15:docId w15:val="{34CE91DD-A39E-40BE-88F5-4E48F1F4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2BE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72BE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419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19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19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19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195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4195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0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bg.fr/cellular-analysis/cellular-imaging/?lang=en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vjob@IBS-AD</dc:creator>
  <cp:keywords/>
  <dc:description/>
  <cp:lastModifiedBy>vjob@IBS-AD</cp:lastModifiedBy>
  <cp:revision>2</cp:revision>
  <dcterms:created xsi:type="dcterms:W3CDTF">2023-04-20T14:31:00Z</dcterms:created>
  <dcterms:modified xsi:type="dcterms:W3CDTF">2023-04-20T14:31:00Z</dcterms:modified>
</cp:coreProperties>
</file>